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CE6651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Washington State Liquor Control Board </w:t>
      </w:r>
    </w:p>
    <w:p w:rsidR="0027102C" w:rsidRDefault="00260F52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 Meeting </w:t>
      </w:r>
      <w:r w:rsidR="0027102C">
        <w:rPr>
          <w:b/>
          <w:sz w:val="28"/>
          <w:szCs w:val="28"/>
        </w:rPr>
        <w:t>Notice</w:t>
      </w:r>
    </w:p>
    <w:p w:rsidR="008147AA" w:rsidRDefault="0027102C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City’s Request for </w:t>
      </w:r>
      <w:r w:rsidR="00260F52">
        <w:rPr>
          <w:b/>
          <w:sz w:val="28"/>
          <w:szCs w:val="28"/>
        </w:rPr>
        <w:t>Mandatory Recognition of</w:t>
      </w:r>
    </w:p>
    <w:p w:rsidR="008147AA" w:rsidRDefault="008147AA" w:rsidP="00507D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Spokane </w:t>
      </w:r>
      <w:r w:rsidR="00260F52">
        <w:rPr>
          <w:b/>
          <w:sz w:val="28"/>
          <w:szCs w:val="28"/>
        </w:rPr>
        <w:t>East Central</w:t>
      </w:r>
      <w:r>
        <w:rPr>
          <w:b/>
          <w:sz w:val="28"/>
          <w:szCs w:val="28"/>
        </w:rPr>
        <w:t xml:space="preserve"> Alcohol Impact Area</w:t>
      </w:r>
    </w:p>
    <w:p w:rsidR="00260F52" w:rsidRDefault="003C146F" w:rsidP="007349D0">
      <w:pPr>
        <w:spacing w:after="120" w:line="240" w:lineRule="auto"/>
        <w:rPr>
          <w:b/>
        </w:rPr>
      </w:pPr>
      <w:r>
        <w:rPr>
          <w:b/>
        </w:rPr>
        <w:t>August 1, 2012</w:t>
      </w:r>
      <w:r w:rsidR="008147AA" w:rsidRPr="00507D53">
        <w:rPr>
          <w:b/>
        </w:rPr>
        <w:t xml:space="preserve">, the WSLCB Board </w:t>
      </w:r>
      <w:r>
        <w:rPr>
          <w:b/>
        </w:rPr>
        <w:t>adopted</w:t>
      </w:r>
      <w:r w:rsidR="00260F52">
        <w:rPr>
          <w:b/>
        </w:rPr>
        <w:t xml:space="preserve"> the </w:t>
      </w:r>
      <w:r w:rsidR="008147AA" w:rsidRPr="00507D53">
        <w:rPr>
          <w:b/>
        </w:rPr>
        <w:t xml:space="preserve">city of Spokane’s request </w:t>
      </w:r>
      <w:r>
        <w:rPr>
          <w:b/>
        </w:rPr>
        <w:t>for</w:t>
      </w:r>
      <w:r w:rsidR="00260F52">
        <w:rPr>
          <w:b/>
        </w:rPr>
        <w:t xml:space="preserve"> mandatory recognition of the East Central Alcohol Impact Area</w:t>
      </w:r>
      <w:r w:rsidR="008147AA" w:rsidRPr="00507D53">
        <w:rPr>
          <w:b/>
        </w:rPr>
        <w:t xml:space="preserve">.  </w:t>
      </w:r>
      <w:r w:rsidR="00260F52">
        <w:rPr>
          <w:b/>
        </w:rPr>
        <w:t>The banned products are listed below.</w:t>
      </w:r>
      <w:r>
        <w:rPr>
          <w:b/>
        </w:rPr>
        <w:t xml:space="preserve">  Product</w:t>
      </w:r>
      <w:r w:rsidR="000B06F6">
        <w:rPr>
          <w:b/>
        </w:rPr>
        <w:t xml:space="preserve"> </w:t>
      </w:r>
      <w:r>
        <w:rPr>
          <w:b/>
        </w:rPr>
        <w:t>ban goes into affect September 15, 2012.</w:t>
      </w:r>
    </w:p>
    <w:p w:rsidR="001F2E4A" w:rsidRDefault="008147AA" w:rsidP="007349D0">
      <w:pPr>
        <w:spacing w:after="120" w:line="240" w:lineRule="auto"/>
        <w:rPr>
          <w:b/>
        </w:rPr>
        <w:sectPr w:rsidR="001F2E4A" w:rsidSect="00A40A2D">
          <w:headerReference w:type="default" r:id="rId6"/>
          <w:pgSz w:w="12240" w:h="15840" w:code="1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507D53">
        <w:rPr>
          <w:b/>
        </w:rPr>
        <w:t xml:space="preserve">Information related to this action is available for viewing at </w:t>
      </w:r>
      <w:hyperlink r:id="rId7" w:history="1">
        <w:r w:rsidRPr="00507D53">
          <w:rPr>
            <w:rStyle w:val="Hyperlink"/>
            <w:b/>
          </w:rPr>
          <w:t>http://www.liq.wa.gov/licensing/alcohol-impact-areas-existing-locations</w:t>
        </w:r>
      </w:hyperlink>
      <w:r w:rsidRPr="00507D53">
        <w:rPr>
          <w:b/>
        </w:rPr>
        <w:t xml:space="preserve">.  </w:t>
      </w:r>
    </w:p>
    <w:tbl>
      <w:tblPr>
        <w:tblW w:w="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2010"/>
        <w:gridCol w:w="1086"/>
      </w:tblGrid>
      <w:tr w:rsidR="00260F52" w:rsidRPr="001F2E4A" w:rsidTr="0027102C">
        <w:trPr>
          <w:cantSplit/>
          <w:trHeight w:val="576"/>
          <w:tblHeader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  <w:u w:val="single"/>
              </w:rPr>
            </w:pPr>
            <w:r w:rsidRPr="001F2E4A">
              <w:rPr>
                <w:b/>
                <w:sz w:val="20"/>
                <w:szCs w:val="20"/>
                <w:u w:val="single"/>
              </w:rPr>
              <w:lastRenderedPageBreak/>
              <w:t>Manufacturer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  <w:u w:val="single"/>
              </w:rPr>
            </w:pPr>
            <w:r w:rsidRPr="001F2E4A">
              <w:rPr>
                <w:sz w:val="20"/>
                <w:szCs w:val="20"/>
              </w:rPr>
              <w:br w:type="page"/>
            </w:r>
            <w:r w:rsidRPr="001F2E4A">
              <w:rPr>
                <w:b/>
                <w:sz w:val="20"/>
                <w:szCs w:val="20"/>
                <w:u w:val="single"/>
              </w:rPr>
              <w:t>Brand Name</w:t>
            </w:r>
          </w:p>
        </w:tc>
        <w:tc>
          <w:tcPr>
            <w:tcW w:w="1086" w:type="dxa"/>
          </w:tcPr>
          <w:p w:rsidR="00260F52" w:rsidRPr="001F2E4A" w:rsidRDefault="00260F52" w:rsidP="0027102C">
            <w:pPr>
              <w:pStyle w:val="PMOBody"/>
              <w:ind w:left="-90" w:right="-108"/>
              <w:jc w:val="center"/>
              <w:rPr>
                <w:b/>
                <w:sz w:val="20"/>
                <w:szCs w:val="20"/>
                <w:u w:val="single"/>
              </w:rPr>
            </w:pPr>
            <w:r w:rsidRPr="001F2E4A">
              <w:rPr>
                <w:b/>
                <w:sz w:val="20"/>
                <w:szCs w:val="20"/>
                <w:u w:val="single"/>
              </w:rPr>
              <w:t>Alcohol Content by Volume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Colt 45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Blast 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12%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Stroh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Bull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Busch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Cobra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G Heileman Brewing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Colt 45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6.1%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G Heileman Brewing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Colt 45 Malt Liquor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6.4%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Charge Beverages Corp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Core 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12%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Rock Wall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Dog Bite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10%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Drink Four Brewing Co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Drink Four 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10% - 12 %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City Brewing Co</w:t>
            </w:r>
          </w:p>
        </w:tc>
        <w:tc>
          <w:tcPr>
            <w:tcW w:w="2010" w:type="dxa"/>
          </w:tcPr>
          <w:p w:rsidR="0027102C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Earthquake</w:t>
            </w:r>
          </w:p>
          <w:p w:rsidR="00260F52" w:rsidRPr="001F2E4A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8.1% - 12%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Hamm’s Ice Brewed Ale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6.1%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Hamm’s Ice Brewed Beer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6.1%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City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Hard Wired 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Five Star Brewing Co 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High Gravity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 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8.1% - 9%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Hurricane 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 - 12%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JW Distilling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Jeremiah Weed Lemonade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United Brands Co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Joose 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9.9%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Keystone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King Cobra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Lucky Ice Ale Premium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6.1%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Lucky Ice Beer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6.1%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Magnum Malt Liquor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Mark Anthony Brands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Mike’s Harder Lemonade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Mark Anthony Brands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Mike’s Harder Punch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lastRenderedPageBreak/>
              <w:t>MillerCoors</w:t>
            </w:r>
          </w:p>
        </w:tc>
        <w:tc>
          <w:tcPr>
            <w:tcW w:w="2010" w:type="dxa"/>
          </w:tcPr>
          <w:p w:rsidR="0027102C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Mickey’s</w:t>
            </w:r>
          </w:p>
          <w:p w:rsidR="00260F52" w:rsidRPr="001F2E4A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5.6% - 5.8%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Milwaukee Best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Milwaukee Best Premium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Natty Daddy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 Busch Inc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Natural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Joseph Schlitz Brewing 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Old Milwaukee Ice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Olde English 800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7.5% - 8%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Olympia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6.1%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Ice Ale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Rainier Ice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Stroh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Red Bull Malt Liquor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7%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Diageo-Guinness USA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Smirnoff XBT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Schlitz Malt Liquor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5.9%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Pabst Brewing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Schlitz High Gravity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8.5%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Steel Brewing Co</w:t>
            </w:r>
          </w:p>
        </w:tc>
        <w:tc>
          <w:tcPr>
            <w:tcW w:w="2010" w:type="dxa"/>
          </w:tcPr>
          <w:p w:rsidR="0027102C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Sparks</w:t>
            </w:r>
          </w:p>
          <w:p w:rsidR="00260F52" w:rsidRPr="001F2E4A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6% - 8%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Special 800 Reserve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flavors)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Saint Ides Brewing </w:t>
            </w:r>
          </w:p>
        </w:tc>
        <w:tc>
          <w:tcPr>
            <w:tcW w:w="2010" w:type="dxa"/>
          </w:tcPr>
          <w:p w:rsidR="0027102C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St. Ide’s Liquor and Special Brews</w:t>
            </w:r>
          </w:p>
          <w:p w:rsidR="00260F52" w:rsidRPr="001F2E4A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flavors)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6% - 7.3%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United Brands Co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Stack High Gravity Lager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12%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MillerCoors</w:t>
            </w:r>
          </w:p>
        </w:tc>
        <w:tc>
          <w:tcPr>
            <w:tcW w:w="2010" w:type="dxa"/>
          </w:tcPr>
          <w:p w:rsidR="0027102C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Steel Reserve</w:t>
            </w:r>
          </w:p>
          <w:p w:rsidR="00260F52" w:rsidRPr="001F2E4A" w:rsidRDefault="00260F52" w:rsidP="0027102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5.5% - 8%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Anheuser-Busch Inc</w:t>
            </w:r>
          </w:p>
        </w:tc>
        <w:tc>
          <w:tcPr>
            <w:tcW w:w="2010" w:type="dxa"/>
          </w:tcPr>
          <w:p w:rsidR="0027102C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 xml:space="preserve">Tilt </w:t>
            </w:r>
          </w:p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(all products)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6.6% - 8%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Vampt Beverage Corp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Vampt Smooth Talker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  <w:tr w:rsidR="00260F52" w:rsidRPr="001F2E4A" w:rsidTr="001F2E4A">
        <w:trPr>
          <w:cantSplit/>
          <w:jc w:val="center"/>
        </w:trPr>
        <w:tc>
          <w:tcPr>
            <w:tcW w:w="1944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Vampt Beverage Corp</w:t>
            </w:r>
          </w:p>
        </w:tc>
        <w:tc>
          <w:tcPr>
            <w:tcW w:w="2010" w:type="dxa"/>
          </w:tcPr>
          <w:p w:rsidR="00260F52" w:rsidRPr="001F2E4A" w:rsidRDefault="00260F52" w:rsidP="008C5B4C">
            <w:pPr>
              <w:pStyle w:val="PMOBody"/>
              <w:ind w:left="0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Vampt Midnight Warrior</w:t>
            </w:r>
          </w:p>
        </w:tc>
        <w:tc>
          <w:tcPr>
            <w:tcW w:w="1086" w:type="dxa"/>
          </w:tcPr>
          <w:p w:rsidR="00260F52" w:rsidRPr="001F2E4A" w:rsidRDefault="00260F52" w:rsidP="008C5B4C">
            <w:pPr>
              <w:pStyle w:val="PMOBody"/>
              <w:ind w:left="0"/>
              <w:jc w:val="center"/>
              <w:rPr>
                <w:b/>
                <w:sz w:val="20"/>
                <w:szCs w:val="20"/>
              </w:rPr>
            </w:pPr>
            <w:r w:rsidRPr="001F2E4A">
              <w:rPr>
                <w:b/>
                <w:sz w:val="20"/>
                <w:szCs w:val="20"/>
              </w:rPr>
              <w:t>8%</w:t>
            </w:r>
          </w:p>
        </w:tc>
      </w:tr>
    </w:tbl>
    <w:p w:rsidR="000364F4" w:rsidRPr="008147AA" w:rsidRDefault="000364F4" w:rsidP="001F2E4A">
      <w:pPr>
        <w:rPr>
          <w:b/>
          <w:sz w:val="24"/>
          <w:szCs w:val="24"/>
        </w:rPr>
      </w:pPr>
    </w:p>
    <w:sectPr w:rsidR="000364F4" w:rsidRPr="008147AA" w:rsidSect="001F2E4A">
      <w:type w:val="continuous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1E" w:rsidRDefault="007C271E" w:rsidP="007C271E">
      <w:pPr>
        <w:spacing w:after="0" w:line="240" w:lineRule="auto"/>
      </w:pPr>
      <w:r>
        <w:separator/>
      </w:r>
    </w:p>
  </w:endnote>
  <w:endnote w:type="continuationSeparator" w:id="0">
    <w:p w:rsidR="007C271E" w:rsidRDefault="007C271E" w:rsidP="007C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1E" w:rsidRDefault="007C271E" w:rsidP="007C271E">
      <w:pPr>
        <w:spacing w:after="0" w:line="240" w:lineRule="auto"/>
      </w:pPr>
      <w:r>
        <w:separator/>
      </w:r>
    </w:p>
  </w:footnote>
  <w:footnote w:type="continuationSeparator" w:id="0">
    <w:p w:rsidR="007C271E" w:rsidRDefault="007C271E" w:rsidP="007C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1E" w:rsidRDefault="007C271E">
    <w:pPr>
      <w:pStyle w:val="Header"/>
    </w:pPr>
    <w:r>
      <w:rPr>
        <w:rFonts w:ascii="Tahoma" w:hAnsi="Tahoma" w:cs="Tahoma"/>
        <w:b/>
        <w:noProof/>
      </w:rPr>
      <w:drawing>
        <wp:inline distT="0" distB="0" distL="0" distR="0">
          <wp:extent cx="5476875" cy="552450"/>
          <wp:effectExtent l="0" t="0" r="0" b="0"/>
          <wp:docPr id="7" name="Picture 7" descr="color letterhead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r letterhead 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271E"/>
    <w:rsid w:val="000033C0"/>
    <w:rsid w:val="00003FC5"/>
    <w:rsid w:val="00010360"/>
    <w:rsid w:val="0001232A"/>
    <w:rsid w:val="00016D39"/>
    <w:rsid w:val="000217A1"/>
    <w:rsid w:val="00021990"/>
    <w:rsid w:val="00024261"/>
    <w:rsid w:val="00030C9E"/>
    <w:rsid w:val="00035537"/>
    <w:rsid w:val="000364F4"/>
    <w:rsid w:val="00036731"/>
    <w:rsid w:val="00037037"/>
    <w:rsid w:val="00037A9B"/>
    <w:rsid w:val="000441E0"/>
    <w:rsid w:val="00047A54"/>
    <w:rsid w:val="00047F70"/>
    <w:rsid w:val="00051CA3"/>
    <w:rsid w:val="000554D8"/>
    <w:rsid w:val="0005591D"/>
    <w:rsid w:val="00071333"/>
    <w:rsid w:val="0007252A"/>
    <w:rsid w:val="000727FB"/>
    <w:rsid w:val="00076713"/>
    <w:rsid w:val="000776E3"/>
    <w:rsid w:val="00077F99"/>
    <w:rsid w:val="00082703"/>
    <w:rsid w:val="000829E3"/>
    <w:rsid w:val="00093141"/>
    <w:rsid w:val="000A17B1"/>
    <w:rsid w:val="000B06F6"/>
    <w:rsid w:val="000B6DEA"/>
    <w:rsid w:val="000C0B39"/>
    <w:rsid w:val="000C2BD7"/>
    <w:rsid w:val="000C60EE"/>
    <w:rsid w:val="000E2B6E"/>
    <w:rsid w:val="000E4408"/>
    <w:rsid w:val="000E5BB1"/>
    <w:rsid w:val="000F75FD"/>
    <w:rsid w:val="001051DF"/>
    <w:rsid w:val="0010543A"/>
    <w:rsid w:val="0011126F"/>
    <w:rsid w:val="0011134D"/>
    <w:rsid w:val="00111A74"/>
    <w:rsid w:val="00115CC6"/>
    <w:rsid w:val="00115E4F"/>
    <w:rsid w:val="001170F7"/>
    <w:rsid w:val="00117383"/>
    <w:rsid w:val="0012484F"/>
    <w:rsid w:val="001328A5"/>
    <w:rsid w:val="00137DE9"/>
    <w:rsid w:val="0014159A"/>
    <w:rsid w:val="00150412"/>
    <w:rsid w:val="00153AF4"/>
    <w:rsid w:val="001545B3"/>
    <w:rsid w:val="00156492"/>
    <w:rsid w:val="0015653C"/>
    <w:rsid w:val="00156AD5"/>
    <w:rsid w:val="001622B3"/>
    <w:rsid w:val="00162CCF"/>
    <w:rsid w:val="00170860"/>
    <w:rsid w:val="00170D2A"/>
    <w:rsid w:val="001733C8"/>
    <w:rsid w:val="00177D45"/>
    <w:rsid w:val="00181A7F"/>
    <w:rsid w:val="00196CC2"/>
    <w:rsid w:val="001A1373"/>
    <w:rsid w:val="001A3625"/>
    <w:rsid w:val="001A665F"/>
    <w:rsid w:val="001B054F"/>
    <w:rsid w:val="001B321F"/>
    <w:rsid w:val="001B3898"/>
    <w:rsid w:val="001C24E7"/>
    <w:rsid w:val="001C4BE8"/>
    <w:rsid w:val="001C5952"/>
    <w:rsid w:val="001D0FCB"/>
    <w:rsid w:val="001D1629"/>
    <w:rsid w:val="001D7288"/>
    <w:rsid w:val="001E1B84"/>
    <w:rsid w:val="001E7A1B"/>
    <w:rsid w:val="001E7C29"/>
    <w:rsid w:val="001F2E4A"/>
    <w:rsid w:val="001F4153"/>
    <w:rsid w:val="00202A39"/>
    <w:rsid w:val="00221A57"/>
    <w:rsid w:val="002368AD"/>
    <w:rsid w:val="00246EF8"/>
    <w:rsid w:val="00251359"/>
    <w:rsid w:val="0025465F"/>
    <w:rsid w:val="00255BAE"/>
    <w:rsid w:val="00256654"/>
    <w:rsid w:val="00260F52"/>
    <w:rsid w:val="00261F3C"/>
    <w:rsid w:val="00267080"/>
    <w:rsid w:val="002675C6"/>
    <w:rsid w:val="002703B7"/>
    <w:rsid w:val="0027102C"/>
    <w:rsid w:val="002775A8"/>
    <w:rsid w:val="002841E6"/>
    <w:rsid w:val="0028429F"/>
    <w:rsid w:val="002865A8"/>
    <w:rsid w:val="002A2B0D"/>
    <w:rsid w:val="002A57D1"/>
    <w:rsid w:val="002A6531"/>
    <w:rsid w:val="002A770E"/>
    <w:rsid w:val="002C12D1"/>
    <w:rsid w:val="002D2653"/>
    <w:rsid w:val="002D4D56"/>
    <w:rsid w:val="002E2839"/>
    <w:rsid w:val="002E3527"/>
    <w:rsid w:val="002E4CDC"/>
    <w:rsid w:val="00304DC3"/>
    <w:rsid w:val="003113B6"/>
    <w:rsid w:val="0031711D"/>
    <w:rsid w:val="00321EEE"/>
    <w:rsid w:val="00325E4B"/>
    <w:rsid w:val="003311F8"/>
    <w:rsid w:val="0033397B"/>
    <w:rsid w:val="00343A54"/>
    <w:rsid w:val="0034630E"/>
    <w:rsid w:val="0035559C"/>
    <w:rsid w:val="003638F7"/>
    <w:rsid w:val="003672FC"/>
    <w:rsid w:val="0038147E"/>
    <w:rsid w:val="00382F49"/>
    <w:rsid w:val="00392A88"/>
    <w:rsid w:val="00395D3F"/>
    <w:rsid w:val="003A3CF2"/>
    <w:rsid w:val="003A3EB2"/>
    <w:rsid w:val="003C0729"/>
    <w:rsid w:val="003C146F"/>
    <w:rsid w:val="003C36AD"/>
    <w:rsid w:val="003C647C"/>
    <w:rsid w:val="003D1B11"/>
    <w:rsid w:val="003D4B7C"/>
    <w:rsid w:val="003E33A7"/>
    <w:rsid w:val="003F1B21"/>
    <w:rsid w:val="003F3BD8"/>
    <w:rsid w:val="003F6010"/>
    <w:rsid w:val="003F6224"/>
    <w:rsid w:val="00400410"/>
    <w:rsid w:val="00400CE2"/>
    <w:rsid w:val="00401915"/>
    <w:rsid w:val="004072FD"/>
    <w:rsid w:val="00415EF4"/>
    <w:rsid w:val="00416F4D"/>
    <w:rsid w:val="0042262D"/>
    <w:rsid w:val="00422918"/>
    <w:rsid w:val="00423DFC"/>
    <w:rsid w:val="00427B54"/>
    <w:rsid w:val="00431C5E"/>
    <w:rsid w:val="00440691"/>
    <w:rsid w:val="004423D6"/>
    <w:rsid w:val="0045582C"/>
    <w:rsid w:val="00457A4F"/>
    <w:rsid w:val="00460EB0"/>
    <w:rsid w:val="00466684"/>
    <w:rsid w:val="004668FF"/>
    <w:rsid w:val="00472AD7"/>
    <w:rsid w:val="00473B91"/>
    <w:rsid w:val="0047544A"/>
    <w:rsid w:val="00481BE1"/>
    <w:rsid w:val="00481DC8"/>
    <w:rsid w:val="004839AA"/>
    <w:rsid w:val="004941F2"/>
    <w:rsid w:val="004974C4"/>
    <w:rsid w:val="004A207D"/>
    <w:rsid w:val="004A56AF"/>
    <w:rsid w:val="004B0059"/>
    <w:rsid w:val="004B2010"/>
    <w:rsid w:val="004C2CE0"/>
    <w:rsid w:val="004C5D03"/>
    <w:rsid w:val="004E5E08"/>
    <w:rsid w:val="004E6404"/>
    <w:rsid w:val="004E6666"/>
    <w:rsid w:val="004F1E8E"/>
    <w:rsid w:val="004F270F"/>
    <w:rsid w:val="00501B58"/>
    <w:rsid w:val="00507430"/>
    <w:rsid w:val="00507D53"/>
    <w:rsid w:val="005201C6"/>
    <w:rsid w:val="005360B4"/>
    <w:rsid w:val="005434DA"/>
    <w:rsid w:val="00553047"/>
    <w:rsid w:val="00553502"/>
    <w:rsid w:val="00563476"/>
    <w:rsid w:val="00567723"/>
    <w:rsid w:val="00571424"/>
    <w:rsid w:val="005727C1"/>
    <w:rsid w:val="00574DF8"/>
    <w:rsid w:val="00576F0F"/>
    <w:rsid w:val="00591FCD"/>
    <w:rsid w:val="00594D55"/>
    <w:rsid w:val="0059776F"/>
    <w:rsid w:val="005A0177"/>
    <w:rsid w:val="005A2CAB"/>
    <w:rsid w:val="005A7538"/>
    <w:rsid w:val="005A76A8"/>
    <w:rsid w:val="005B318C"/>
    <w:rsid w:val="005B6140"/>
    <w:rsid w:val="005B6524"/>
    <w:rsid w:val="005B68BC"/>
    <w:rsid w:val="005B790F"/>
    <w:rsid w:val="005E2C1B"/>
    <w:rsid w:val="005E3985"/>
    <w:rsid w:val="005E60DB"/>
    <w:rsid w:val="005F4A10"/>
    <w:rsid w:val="005F64B8"/>
    <w:rsid w:val="005F6AE1"/>
    <w:rsid w:val="00604197"/>
    <w:rsid w:val="00607499"/>
    <w:rsid w:val="006104B4"/>
    <w:rsid w:val="00617692"/>
    <w:rsid w:val="00623AB3"/>
    <w:rsid w:val="006319AE"/>
    <w:rsid w:val="006319ED"/>
    <w:rsid w:val="0063219C"/>
    <w:rsid w:val="00633FA5"/>
    <w:rsid w:val="00635987"/>
    <w:rsid w:val="00636662"/>
    <w:rsid w:val="00646AC2"/>
    <w:rsid w:val="00647F1A"/>
    <w:rsid w:val="00654092"/>
    <w:rsid w:val="006578A6"/>
    <w:rsid w:val="00681F5F"/>
    <w:rsid w:val="00684A99"/>
    <w:rsid w:val="00684E1E"/>
    <w:rsid w:val="00685EAF"/>
    <w:rsid w:val="0069327D"/>
    <w:rsid w:val="006935F9"/>
    <w:rsid w:val="006938D6"/>
    <w:rsid w:val="00696221"/>
    <w:rsid w:val="006A3BF3"/>
    <w:rsid w:val="006A7382"/>
    <w:rsid w:val="006C0E64"/>
    <w:rsid w:val="006C2949"/>
    <w:rsid w:val="006C4F39"/>
    <w:rsid w:val="006C731B"/>
    <w:rsid w:val="006D0D95"/>
    <w:rsid w:val="006D200C"/>
    <w:rsid w:val="006D3F92"/>
    <w:rsid w:val="006E1152"/>
    <w:rsid w:val="006E4550"/>
    <w:rsid w:val="006E5292"/>
    <w:rsid w:val="006E5634"/>
    <w:rsid w:val="006F0AB4"/>
    <w:rsid w:val="006F1857"/>
    <w:rsid w:val="006F787B"/>
    <w:rsid w:val="007059EC"/>
    <w:rsid w:val="00706F22"/>
    <w:rsid w:val="00713809"/>
    <w:rsid w:val="00720193"/>
    <w:rsid w:val="00722614"/>
    <w:rsid w:val="0072460D"/>
    <w:rsid w:val="00725810"/>
    <w:rsid w:val="00727483"/>
    <w:rsid w:val="007349D0"/>
    <w:rsid w:val="00734CD7"/>
    <w:rsid w:val="00741291"/>
    <w:rsid w:val="00744E29"/>
    <w:rsid w:val="00745B96"/>
    <w:rsid w:val="00747297"/>
    <w:rsid w:val="007616F5"/>
    <w:rsid w:val="00762F58"/>
    <w:rsid w:val="007665F2"/>
    <w:rsid w:val="00773813"/>
    <w:rsid w:val="0077415D"/>
    <w:rsid w:val="00775B9F"/>
    <w:rsid w:val="00780DA8"/>
    <w:rsid w:val="0078256E"/>
    <w:rsid w:val="00785BD0"/>
    <w:rsid w:val="0079075B"/>
    <w:rsid w:val="00793F03"/>
    <w:rsid w:val="007A000E"/>
    <w:rsid w:val="007A5B4E"/>
    <w:rsid w:val="007B2571"/>
    <w:rsid w:val="007B615D"/>
    <w:rsid w:val="007B7706"/>
    <w:rsid w:val="007C271E"/>
    <w:rsid w:val="007C2A3B"/>
    <w:rsid w:val="007C66DA"/>
    <w:rsid w:val="007C6A80"/>
    <w:rsid w:val="007D266A"/>
    <w:rsid w:val="007D2D10"/>
    <w:rsid w:val="007D3CD9"/>
    <w:rsid w:val="007E457A"/>
    <w:rsid w:val="007F1413"/>
    <w:rsid w:val="007F18D5"/>
    <w:rsid w:val="007F1D65"/>
    <w:rsid w:val="007F54FD"/>
    <w:rsid w:val="008004DC"/>
    <w:rsid w:val="00801B4A"/>
    <w:rsid w:val="00810669"/>
    <w:rsid w:val="00811F1B"/>
    <w:rsid w:val="00813A41"/>
    <w:rsid w:val="00813BEC"/>
    <w:rsid w:val="008147AA"/>
    <w:rsid w:val="00815040"/>
    <w:rsid w:val="00827FA0"/>
    <w:rsid w:val="00831A15"/>
    <w:rsid w:val="00833E45"/>
    <w:rsid w:val="008515F9"/>
    <w:rsid w:val="008532A1"/>
    <w:rsid w:val="008603D1"/>
    <w:rsid w:val="00861A5D"/>
    <w:rsid w:val="00866D6C"/>
    <w:rsid w:val="00882BA5"/>
    <w:rsid w:val="00885454"/>
    <w:rsid w:val="008873F2"/>
    <w:rsid w:val="008915F3"/>
    <w:rsid w:val="008929F1"/>
    <w:rsid w:val="008A66AB"/>
    <w:rsid w:val="008A6A02"/>
    <w:rsid w:val="008B0D18"/>
    <w:rsid w:val="008B658F"/>
    <w:rsid w:val="008D52AA"/>
    <w:rsid w:val="008D5F7C"/>
    <w:rsid w:val="008E034F"/>
    <w:rsid w:val="008E19AC"/>
    <w:rsid w:val="008E4639"/>
    <w:rsid w:val="008E501C"/>
    <w:rsid w:val="008E609D"/>
    <w:rsid w:val="008E6E03"/>
    <w:rsid w:val="00902E9F"/>
    <w:rsid w:val="00903890"/>
    <w:rsid w:val="00903953"/>
    <w:rsid w:val="00912C66"/>
    <w:rsid w:val="009218DD"/>
    <w:rsid w:val="009324B9"/>
    <w:rsid w:val="00935C9D"/>
    <w:rsid w:val="00937862"/>
    <w:rsid w:val="00937AAE"/>
    <w:rsid w:val="0094320E"/>
    <w:rsid w:val="0094457B"/>
    <w:rsid w:val="009475A8"/>
    <w:rsid w:val="009579C9"/>
    <w:rsid w:val="00961FA9"/>
    <w:rsid w:val="00964639"/>
    <w:rsid w:val="009657A6"/>
    <w:rsid w:val="009662D1"/>
    <w:rsid w:val="00977FBC"/>
    <w:rsid w:val="009800B3"/>
    <w:rsid w:val="009826A2"/>
    <w:rsid w:val="00985914"/>
    <w:rsid w:val="009909B5"/>
    <w:rsid w:val="00991127"/>
    <w:rsid w:val="009A5F57"/>
    <w:rsid w:val="009B24BE"/>
    <w:rsid w:val="009B5652"/>
    <w:rsid w:val="009B7D63"/>
    <w:rsid w:val="009C0479"/>
    <w:rsid w:val="009C320B"/>
    <w:rsid w:val="009D34BD"/>
    <w:rsid w:val="009D35AD"/>
    <w:rsid w:val="009D5A4A"/>
    <w:rsid w:val="009D7430"/>
    <w:rsid w:val="009E02AA"/>
    <w:rsid w:val="009E46BB"/>
    <w:rsid w:val="009F3119"/>
    <w:rsid w:val="00A00810"/>
    <w:rsid w:val="00A00D24"/>
    <w:rsid w:val="00A00E12"/>
    <w:rsid w:val="00A06117"/>
    <w:rsid w:val="00A07D0A"/>
    <w:rsid w:val="00A11EF7"/>
    <w:rsid w:val="00A179E0"/>
    <w:rsid w:val="00A23D95"/>
    <w:rsid w:val="00A23E0C"/>
    <w:rsid w:val="00A262B9"/>
    <w:rsid w:val="00A2763D"/>
    <w:rsid w:val="00A278AD"/>
    <w:rsid w:val="00A349F8"/>
    <w:rsid w:val="00A353F7"/>
    <w:rsid w:val="00A40A2D"/>
    <w:rsid w:val="00A40BBD"/>
    <w:rsid w:val="00A433D4"/>
    <w:rsid w:val="00A57762"/>
    <w:rsid w:val="00A62453"/>
    <w:rsid w:val="00A625C3"/>
    <w:rsid w:val="00A65D7A"/>
    <w:rsid w:val="00A6719E"/>
    <w:rsid w:val="00A715E3"/>
    <w:rsid w:val="00A75F8E"/>
    <w:rsid w:val="00A772CB"/>
    <w:rsid w:val="00A77FFE"/>
    <w:rsid w:val="00A8252B"/>
    <w:rsid w:val="00A828C9"/>
    <w:rsid w:val="00A86462"/>
    <w:rsid w:val="00A93D61"/>
    <w:rsid w:val="00A94A8A"/>
    <w:rsid w:val="00A94E33"/>
    <w:rsid w:val="00A9539D"/>
    <w:rsid w:val="00A954E8"/>
    <w:rsid w:val="00AA1845"/>
    <w:rsid w:val="00AA7762"/>
    <w:rsid w:val="00AB3E54"/>
    <w:rsid w:val="00AB41BC"/>
    <w:rsid w:val="00AB4884"/>
    <w:rsid w:val="00AB5583"/>
    <w:rsid w:val="00AC0B6B"/>
    <w:rsid w:val="00AC37EA"/>
    <w:rsid w:val="00AC6A00"/>
    <w:rsid w:val="00AD0470"/>
    <w:rsid w:val="00AD04E9"/>
    <w:rsid w:val="00AD241B"/>
    <w:rsid w:val="00AD6712"/>
    <w:rsid w:val="00AE4B38"/>
    <w:rsid w:val="00AE533D"/>
    <w:rsid w:val="00AE67E0"/>
    <w:rsid w:val="00AF1A48"/>
    <w:rsid w:val="00AF6666"/>
    <w:rsid w:val="00B01FEC"/>
    <w:rsid w:val="00B04CDD"/>
    <w:rsid w:val="00B06704"/>
    <w:rsid w:val="00B0754E"/>
    <w:rsid w:val="00B07F40"/>
    <w:rsid w:val="00B13CFF"/>
    <w:rsid w:val="00B24EFD"/>
    <w:rsid w:val="00B265D8"/>
    <w:rsid w:val="00B26E2C"/>
    <w:rsid w:val="00B30EFD"/>
    <w:rsid w:val="00B34EF0"/>
    <w:rsid w:val="00B35A7C"/>
    <w:rsid w:val="00B368D6"/>
    <w:rsid w:val="00B519B3"/>
    <w:rsid w:val="00B56743"/>
    <w:rsid w:val="00B6254E"/>
    <w:rsid w:val="00B81845"/>
    <w:rsid w:val="00B8361B"/>
    <w:rsid w:val="00B90AFC"/>
    <w:rsid w:val="00B94992"/>
    <w:rsid w:val="00B95324"/>
    <w:rsid w:val="00BA1F5F"/>
    <w:rsid w:val="00BA55E3"/>
    <w:rsid w:val="00BB097B"/>
    <w:rsid w:val="00BB09E6"/>
    <w:rsid w:val="00BB3A9E"/>
    <w:rsid w:val="00BC282B"/>
    <w:rsid w:val="00BC5E5B"/>
    <w:rsid w:val="00BD126B"/>
    <w:rsid w:val="00BD1A9B"/>
    <w:rsid w:val="00BD5F9F"/>
    <w:rsid w:val="00BE4CD1"/>
    <w:rsid w:val="00BF1D1D"/>
    <w:rsid w:val="00BF2B43"/>
    <w:rsid w:val="00C01832"/>
    <w:rsid w:val="00C05739"/>
    <w:rsid w:val="00C10177"/>
    <w:rsid w:val="00C14C86"/>
    <w:rsid w:val="00C23ED3"/>
    <w:rsid w:val="00C316D6"/>
    <w:rsid w:val="00C323BB"/>
    <w:rsid w:val="00C37740"/>
    <w:rsid w:val="00C446E8"/>
    <w:rsid w:val="00C502D1"/>
    <w:rsid w:val="00C613CE"/>
    <w:rsid w:val="00C614A5"/>
    <w:rsid w:val="00C7174B"/>
    <w:rsid w:val="00C96E08"/>
    <w:rsid w:val="00CA36F6"/>
    <w:rsid w:val="00CA39C3"/>
    <w:rsid w:val="00CA3B3F"/>
    <w:rsid w:val="00CA4EB1"/>
    <w:rsid w:val="00CB02A4"/>
    <w:rsid w:val="00CB3B82"/>
    <w:rsid w:val="00CC0151"/>
    <w:rsid w:val="00CC345E"/>
    <w:rsid w:val="00CC7F91"/>
    <w:rsid w:val="00CD3258"/>
    <w:rsid w:val="00CD43C2"/>
    <w:rsid w:val="00CE44AB"/>
    <w:rsid w:val="00CE6651"/>
    <w:rsid w:val="00CF0E5D"/>
    <w:rsid w:val="00CF444B"/>
    <w:rsid w:val="00CF54EE"/>
    <w:rsid w:val="00CF5C57"/>
    <w:rsid w:val="00D00AD3"/>
    <w:rsid w:val="00D02A44"/>
    <w:rsid w:val="00D14373"/>
    <w:rsid w:val="00D204EF"/>
    <w:rsid w:val="00D22108"/>
    <w:rsid w:val="00D2436B"/>
    <w:rsid w:val="00D25011"/>
    <w:rsid w:val="00D41336"/>
    <w:rsid w:val="00D64322"/>
    <w:rsid w:val="00D65FCB"/>
    <w:rsid w:val="00D72861"/>
    <w:rsid w:val="00D770B7"/>
    <w:rsid w:val="00D85105"/>
    <w:rsid w:val="00D8710E"/>
    <w:rsid w:val="00DA04A0"/>
    <w:rsid w:val="00DA2733"/>
    <w:rsid w:val="00DA403A"/>
    <w:rsid w:val="00DB695D"/>
    <w:rsid w:val="00DC0EF4"/>
    <w:rsid w:val="00DC0F9B"/>
    <w:rsid w:val="00DC2800"/>
    <w:rsid w:val="00DC2849"/>
    <w:rsid w:val="00DC38CE"/>
    <w:rsid w:val="00DC530E"/>
    <w:rsid w:val="00DD1D25"/>
    <w:rsid w:val="00DD39DC"/>
    <w:rsid w:val="00DD64C0"/>
    <w:rsid w:val="00DE6141"/>
    <w:rsid w:val="00DF600B"/>
    <w:rsid w:val="00DF731A"/>
    <w:rsid w:val="00E02FE4"/>
    <w:rsid w:val="00E049AF"/>
    <w:rsid w:val="00E05229"/>
    <w:rsid w:val="00E11528"/>
    <w:rsid w:val="00E16D35"/>
    <w:rsid w:val="00E17449"/>
    <w:rsid w:val="00E22672"/>
    <w:rsid w:val="00E31D85"/>
    <w:rsid w:val="00E32CD3"/>
    <w:rsid w:val="00E3670B"/>
    <w:rsid w:val="00E36CD9"/>
    <w:rsid w:val="00E420CA"/>
    <w:rsid w:val="00E443FF"/>
    <w:rsid w:val="00E449A9"/>
    <w:rsid w:val="00E52266"/>
    <w:rsid w:val="00E5666C"/>
    <w:rsid w:val="00E56999"/>
    <w:rsid w:val="00E61A58"/>
    <w:rsid w:val="00E64A13"/>
    <w:rsid w:val="00E64FC3"/>
    <w:rsid w:val="00E7590A"/>
    <w:rsid w:val="00E80C20"/>
    <w:rsid w:val="00E956AC"/>
    <w:rsid w:val="00E96F9F"/>
    <w:rsid w:val="00E97938"/>
    <w:rsid w:val="00EA1DE0"/>
    <w:rsid w:val="00EA4003"/>
    <w:rsid w:val="00EA72F4"/>
    <w:rsid w:val="00EA79E7"/>
    <w:rsid w:val="00EB0C6C"/>
    <w:rsid w:val="00EB31C8"/>
    <w:rsid w:val="00EB543B"/>
    <w:rsid w:val="00EB6736"/>
    <w:rsid w:val="00EC5F53"/>
    <w:rsid w:val="00EC742D"/>
    <w:rsid w:val="00ED1D9B"/>
    <w:rsid w:val="00ED52C2"/>
    <w:rsid w:val="00ED769E"/>
    <w:rsid w:val="00EE0563"/>
    <w:rsid w:val="00EE370D"/>
    <w:rsid w:val="00EF2117"/>
    <w:rsid w:val="00F04CDF"/>
    <w:rsid w:val="00F0538D"/>
    <w:rsid w:val="00F15A94"/>
    <w:rsid w:val="00F15D84"/>
    <w:rsid w:val="00F1728B"/>
    <w:rsid w:val="00F2007F"/>
    <w:rsid w:val="00F21377"/>
    <w:rsid w:val="00F2546E"/>
    <w:rsid w:val="00F25C73"/>
    <w:rsid w:val="00F26ED4"/>
    <w:rsid w:val="00F27599"/>
    <w:rsid w:val="00F3793A"/>
    <w:rsid w:val="00F4149B"/>
    <w:rsid w:val="00F4449E"/>
    <w:rsid w:val="00F45E90"/>
    <w:rsid w:val="00F508F5"/>
    <w:rsid w:val="00F54B79"/>
    <w:rsid w:val="00F62F68"/>
    <w:rsid w:val="00F643A1"/>
    <w:rsid w:val="00F73D26"/>
    <w:rsid w:val="00F74327"/>
    <w:rsid w:val="00F76FF3"/>
    <w:rsid w:val="00F87292"/>
    <w:rsid w:val="00F87D74"/>
    <w:rsid w:val="00F93995"/>
    <w:rsid w:val="00FA4ED5"/>
    <w:rsid w:val="00FA6267"/>
    <w:rsid w:val="00FB1374"/>
    <w:rsid w:val="00FB54C0"/>
    <w:rsid w:val="00FB5730"/>
    <w:rsid w:val="00FC017C"/>
    <w:rsid w:val="00FD2F94"/>
    <w:rsid w:val="00FD54A0"/>
    <w:rsid w:val="00FF0B5E"/>
    <w:rsid w:val="00FF0D0E"/>
    <w:rsid w:val="00FF1BE4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1E"/>
  </w:style>
  <w:style w:type="paragraph" w:styleId="Footer">
    <w:name w:val="footer"/>
    <w:basedOn w:val="Normal"/>
    <w:link w:val="FooterChar"/>
    <w:uiPriority w:val="99"/>
    <w:semiHidden/>
    <w:unhideWhenUsed/>
    <w:rsid w:val="007C2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71E"/>
  </w:style>
  <w:style w:type="paragraph" w:styleId="BalloonText">
    <w:name w:val="Balloon Text"/>
    <w:basedOn w:val="Normal"/>
    <w:link w:val="BalloonTextChar"/>
    <w:uiPriority w:val="99"/>
    <w:semiHidden/>
    <w:unhideWhenUsed/>
    <w:rsid w:val="007C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7AA"/>
    <w:rPr>
      <w:color w:val="0000FF" w:themeColor="hyperlink"/>
      <w:u w:val="single"/>
    </w:rPr>
  </w:style>
  <w:style w:type="paragraph" w:customStyle="1" w:styleId="PMOBody">
    <w:name w:val="PMO Body"/>
    <w:basedOn w:val="Normal"/>
    <w:rsid w:val="007349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95324"/>
    <w:pPr>
      <w:spacing w:before="115" w:after="115" w:line="240" w:lineRule="auto"/>
      <w:ind w:left="460" w:right="460"/>
      <w:jc w:val="center"/>
    </w:pPr>
    <w:rPr>
      <w:rFonts w:ascii="Arial" w:eastAsia="Times New Roman" w:hAnsi="Arial" w:cs="Arial"/>
      <w:bCs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q.wa.gov/licensing/alcohol-impact-areas-existing-lo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2293</Characters>
  <Application>Microsoft Office Word</Application>
  <DocSecurity>0</DocSecurity>
  <Lines>19</Lines>
  <Paragraphs>5</Paragraphs>
  <ScaleCrop>false</ScaleCrop>
  <Company>WSLCB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</dc:creator>
  <cp:keywords/>
  <dc:description/>
  <cp:lastModifiedBy>josa</cp:lastModifiedBy>
  <cp:revision>4</cp:revision>
  <dcterms:created xsi:type="dcterms:W3CDTF">2012-07-23T18:01:00Z</dcterms:created>
  <dcterms:modified xsi:type="dcterms:W3CDTF">2012-07-23T18:07:00Z</dcterms:modified>
</cp:coreProperties>
</file>